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F97376A" w14:textId="3AA23BAC" w:rsidR="00F62CEE" w:rsidRPr="000E2C4A" w:rsidRDefault="000E2C4A" w:rsidP="00A76B30">
      <w:pPr>
        <w:spacing w:before="240" w:after="120"/>
        <w:jc w:val="both"/>
        <w:rPr>
          <w:rFonts w:ascii="Arial" w:hAnsi="Arial" w:cs="Arial"/>
          <w:b/>
          <w:bCs/>
          <w:lang w:val="en-US"/>
        </w:rPr>
      </w:pPr>
      <w:r w:rsidRPr="000E2C4A">
        <w:rPr>
          <w:rFonts w:ascii="Arial" w:hAnsi="Arial" w:cs="Arial"/>
          <w:b/>
          <w:bCs/>
          <w:sz w:val="24"/>
          <w:szCs w:val="24"/>
          <w:lang w:val="en-US"/>
        </w:rPr>
        <w:t>Ecosystem services of green building envelopes – observations and modelling</w:t>
      </w:r>
      <w:r w:rsidR="005D3D1F" w:rsidRPr="000E2C4A">
        <w:rPr>
          <w:rFonts w:ascii="Arial" w:hAnsi="Arial" w:cs="Arial"/>
          <w:b/>
          <w:bCs/>
          <w:noProof/>
          <w:lang w:val="en-US"/>
        </w:rPr>
        <w:drawing>
          <wp:anchor distT="0" distB="0" distL="114300" distR="114300" simplePos="0" relativeHeight="251667456" behindDoc="0" locked="0" layoutInCell="1" allowOverlap="1" wp14:anchorId="45931127" wp14:editId="0B7EAAA1">
            <wp:simplePos x="0" y="0"/>
            <wp:positionH relativeFrom="column">
              <wp:posOffset>4661535</wp:posOffset>
            </wp:positionH>
            <wp:positionV relativeFrom="paragraph">
              <wp:posOffset>-573405</wp:posOffset>
            </wp:positionV>
            <wp:extent cx="395605" cy="395605"/>
            <wp:effectExtent l="0" t="0" r="4445" b="4445"/>
            <wp:wrapNone/>
            <wp:docPr id="8" name="Grafik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395605" cy="395605"/>
                    </a:xfrm>
                    <a:prstGeom prst="rect">
                      <a:avLst/>
                    </a:prstGeom>
                    <a:noFill/>
                  </pic:spPr>
                </pic:pic>
              </a:graphicData>
            </a:graphic>
            <wp14:sizeRelH relativeFrom="margin">
              <wp14:pctWidth>0</wp14:pctWidth>
            </wp14:sizeRelH>
            <wp14:sizeRelV relativeFrom="margin">
              <wp14:pctHeight>0</wp14:pctHeight>
            </wp14:sizeRelV>
          </wp:anchor>
        </w:drawing>
      </w:r>
      <w:r w:rsidR="005D3D1F" w:rsidRPr="000E2C4A">
        <w:rPr>
          <w:b/>
          <w:bCs/>
          <w:noProof/>
        </w:rPr>
        <w:drawing>
          <wp:anchor distT="0" distB="0" distL="114300" distR="114300" simplePos="0" relativeHeight="251666432" behindDoc="0" locked="0" layoutInCell="1" allowOverlap="1" wp14:anchorId="4BD66123" wp14:editId="215315F9">
            <wp:simplePos x="0" y="0"/>
            <wp:positionH relativeFrom="column">
              <wp:posOffset>3513455</wp:posOffset>
            </wp:positionH>
            <wp:positionV relativeFrom="paragraph">
              <wp:posOffset>-572770</wp:posOffset>
            </wp:positionV>
            <wp:extent cx="1061720" cy="395605"/>
            <wp:effectExtent l="0" t="0" r="5080" b="4445"/>
            <wp:wrapNone/>
            <wp:docPr id="7" name="Grafik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 cstate="print">
                      <a:extLst>
                        <a:ext uri="{28A0092B-C50C-407E-A947-70E740481C1C}">
                          <a14:useLocalDpi xmlns:a14="http://schemas.microsoft.com/office/drawing/2010/main" val="0"/>
                        </a:ext>
                      </a:extLst>
                    </a:blip>
                    <a:stretch>
                      <a:fillRect/>
                    </a:stretch>
                  </pic:blipFill>
                  <pic:spPr>
                    <a:xfrm>
                      <a:off x="0" y="0"/>
                      <a:ext cx="1061720" cy="395605"/>
                    </a:xfrm>
                    <a:prstGeom prst="rect">
                      <a:avLst/>
                    </a:prstGeom>
                  </pic:spPr>
                </pic:pic>
              </a:graphicData>
            </a:graphic>
            <wp14:sizeRelH relativeFrom="page">
              <wp14:pctWidth>0</wp14:pctWidth>
            </wp14:sizeRelH>
            <wp14:sizeRelV relativeFrom="page">
              <wp14:pctHeight>0</wp14:pctHeight>
            </wp14:sizeRelV>
          </wp:anchor>
        </w:drawing>
      </w:r>
      <w:r w:rsidR="005D3D1F" w:rsidRPr="000E2C4A">
        <w:rPr>
          <w:rFonts w:ascii="Arial" w:hAnsi="Arial" w:cs="Arial"/>
          <w:b/>
          <w:bCs/>
          <w:noProof/>
          <w:lang w:val="en-US"/>
        </w:rPr>
        <w:drawing>
          <wp:anchor distT="0" distB="0" distL="114300" distR="114300" simplePos="0" relativeHeight="251668480" behindDoc="0" locked="0" layoutInCell="1" allowOverlap="1" wp14:anchorId="5CD9071B" wp14:editId="75463458">
            <wp:simplePos x="0" y="0"/>
            <wp:positionH relativeFrom="margin">
              <wp:posOffset>5139690</wp:posOffset>
            </wp:positionH>
            <wp:positionV relativeFrom="paragraph">
              <wp:posOffset>-569589</wp:posOffset>
            </wp:positionV>
            <wp:extent cx="1292225" cy="395605"/>
            <wp:effectExtent l="0" t="0" r="3175" b="4445"/>
            <wp:wrapNone/>
            <wp:docPr id="11" name="Grafik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1292225" cy="395605"/>
                    </a:xfrm>
                    <a:prstGeom prst="rect">
                      <a:avLst/>
                    </a:prstGeom>
                    <a:solidFill>
                      <a:schemeClr val="bg1"/>
                    </a:solidFill>
                  </pic:spPr>
                </pic:pic>
              </a:graphicData>
            </a:graphic>
            <wp14:sizeRelH relativeFrom="margin">
              <wp14:pctWidth>0</wp14:pctWidth>
            </wp14:sizeRelH>
            <wp14:sizeRelV relativeFrom="margin">
              <wp14:pctHeight>0</wp14:pctHeight>
            </wp14:sizeRelV>
          </wp:anchor>
        </w:drawing>
      </w:r>
    </w:p>
    <w:p w14:paraId="248DE238" w14:textId="40488482" w:rsidR="005604D0" w:rsidRPr="00567217" w:rsidRDefault="00567217" w:rsidP="00523C54">
      <w:pPr>
        <w:jc w:val="both"/>
        <w:rPr>
          <w:rFonts w:ascii="Arial" w:hAnsi="Arial" w:cs="Arial"/>
        </w:rPr>
      </w:pPr>
      <w:r w:rsidRPr="00567217">
        <w:rPr>
          <w:rFonts w:ascii="Arial" w:hAnsi="Arial" w:cs="Arial"/>
        </w:rPr>
        <w:t>25</w:t>
      </w:r>
      <w:r w:rsidR="00A76B30" w:rsidRPr="00567217">
        <w:rPr>
          <w:rFonts w:ascii="Arial" w:hAnsi="Arial" w:cs="Arial"/>
        </w:rPr>
        <w:t>-</w:t>
      </w:r>
      <w:r w:rsidRPr="00567217">
        <w:rPr>
          <w:rFonts w:ascii="Arial" w:hAnsi="Arial" w:cs="Arial"/>
        </w:rPr>
        <w:t>26</w:t>
      </w:r>
      <w:r w:rsidR="00A76B30" w:rsidRPr="00567217">
        <w:rPr>
          <w:rFonts w:ascii="Arial" w:hAnsi="Arial" w:cs="Arial"/>
        </w:rPr>
        <w:t xml:space="preserve"> </w:t>
      </w:r>
      <w:r w:rsidRPr="00567217">
        <w:rPr>
          <w:rFonts w:ascii="Arial" w:hAnsi="Arial" w:cs="Arial"/>
        </w:rPr>
        <w:t>September</w:t>
      </w:r>
      <w:r w:rsidR="00A76B30" w:rsidRPr="00567217">
        <w:rPr>
          <w:rFonts w:ascii="Arial" w:hAnsi="Arial" w:cs="Arial"/>
        </w:rPr>
        <w:t xml:space="preserve"> 2026, </w:t>
      </w:r>
      <w:r w:rsidRPr="00567217">
        <w:rPr>
          <w:rFonts w:ascii="Arial" w:hAnsi="Arial" w:cs="Arial"/>
        </w:rPr>
        <w:t>online</w:t>
      </w:r>
    </w:p>
    <w:p w14:paraId="3E491FF2" w14:textId="0BD5AF93" w:rsidR="00567217" w:rsidRPr="00567217" w:rsidRDefault="00567217" w:rsidP="00567217">
      <w:pPr>
        <w:spacing w:before="240" w:after="240"/>
        <w:jc w:val="both"/>
        <w:rPr>
          <w:rFonts w:ascii="Arial" w:hAnsi="Arial" w:cs="Arial"/>
          <w:i/>
          <w:iCs/>
          <w:color w:val="BFBFBF" w:themeColor="background1" w:themeShade="BF"/>
          <w:lang w:val="en-US"/>
        </w:rPr>
      </w:pPr>
      <w:r w:rsidRPr="00567217">
        <w:rPr>
          <w:rFonts w:ascii="Arial" w:hAnsi="Arial" w:cs="Arial"/>
          <w:i/>
          <w:iCs/>
          <w:color w:val="BFBFBF" w:themeColor="background1" w:themeShade="BF"/>
          <w:lang w:val="en-US"/>
        </w:rPr>
        <w:t>- Please</w:t>
      </w:r>
      <w:r w:rsidR="008A0F4A">
        <w:rPr>
          <w:rFonts w:ascii="Arial" w:hAnsi="Arial" w:cs="Arial"/>
          <w:i/>
          <w:iCs/>
          <w:color w:val="BFBFBF" w:themeColor="background1" w:themeShade="BF"/>
          <w:lang w:val="en-US"/>
        </w:rPr>
        <w:t xml:space="preserve"> </w:t>
      </w:r>
      <w:r w:rsidRPr="00567217">
        <w:rPr>
          <w:rFonts w:ascii="Arial" w:hAnsi="Arial" w:cs="Arial"/>
          <w:i/>
          <w:iCs/>
          <w:color w:val="BFBFBF" w:themeColor="background1" w:themeShade="BF"/>
          <w:lang w:val="en-US"/>
        </w:rPr>
        <w:t xml:space="preserve">overwrite </w:t>
      </w:r>
      <w:r>
        <w:rPr>
          <w:rFonts w:ascii="Arial" w:hAnsi="Arial" w:cs="Arial"/>
          <w:i/>
          <w:iCs/>
          <w:color w:val="BFBFBF" w:themeColor="background1" w:themeShade="BF"/>
          <w:lang w:val="en-US"/>
        </w:rPr>
        <w:t xml:space="preserve">following </w:t>
      </w:r>
      <w:r w:rsidRPr="00567217">
        <w:rPr>
          <w:rFonts w:ascii="Arial" w:hAnsi="Arial" w:cs="Arial"/>
          <w:i/>
          <w:iCs/>
          <w:color w:val="BFBFBF" w:themeColor="background1" w:themeShade="BF"/>
          <w:lang w:val="en-US"/>
        </w:rPr>
        <w:t>existing text</w:t>
      </w:r>
      <w:r>
        <w:rPr>
          <w:rFonts w:ascii="Arial" w:hAnsi="Arial" w:cs="Arial"/>
          <w:i/>
          <w:iCs/>
          <w:color w:val="BFBFBF" w:themeColor="background1" w:themeShade="BF"/>
          <w:lang w:val="en-US"/>
        </w:rPr>
        <w:t xml:space="preserve"> examples</w:t>
      </w:r>
      <w:r w:rsidRPr="00567217">
        <w:rPr>
          <w:rFonts w:ascii="Arial" w:hAnsi="Arial" w:cs="Arial"/>
          <w:i/>
          <w:iCs/>
          <w:color w:val="BFBFBF" w:themeColor="background1" w:themeShade="BF"/>
          <w:lang w:val="en-US"/>
        </w:rPr>
        <w:t xml:space="preserve"> - </w:t>
      </w:r>
    </w:p>
    <w:p w14:paraId="3116F9E7" w14:textId="39103835" w:rsidR="000E2C4A" w:rsidRPr="000E2C4A" w:rsidRDefault="000E2C4A" w:rsidP="00414527">
      <w:pPr>
        <w:spacing w:after="480"/>
        <w:jc w:val="both"/>
        <w:rPr>
          <w:rFonts w:ascii="Arial" w:hAnsi="Arial" w:cs="Arial"/>
          <w:b/>
          <w:bCs/>
          <w:lang w:val="en-US"/>
        </w:rPr>
      </w:pPr>
      <w:r w:rsidRPr="000E2C4A">
        <w:rPr>
          <w:rFonts w:ascii="Arial" w:hAnsi="Arial" w:cs="Arial"/>
          <w:b/>
          <w:bCs/>
          <w:lang w:val="en-US"/>
        </w:rPr>
        <w:t>Title</w:t>
      </w:r>
      <w:r w:rsidR="00A76B30">
        <w:rPr>
          <w:rFonts w:ascii="Arial" w:hAnsi="Arial" w:cs="Arial"/>
          <w:b/>
          <w:bCs/>
          <w:lang w:val="en-US"/>
        </w:rPr>
        <w:t xml:space="preserve"> of presentation</w:t>
      </w:r>
    </w:p>
    <w:p w14:paraId="4B84734F" w14:textId="02FD7E7F" w:rsidR="00567217" w:rsidRDefault="00567217" w:rsidP="00523C54">
      <w:pPr>
        <w:jc w:val="both"/>
        <w:rPr>
          <w:rFonts w:ascii="Arial" w:hAnsi="Arial" w:cs="Arial"/>
          <w:u w:val="single"/>
          <w:lang w:val="en-US"/>
        </w:rPr>
      </w:pPr>
      <w:r>
        <w:rPr>
          <w:rFonts w:ascii="Arial" w:hAnsi="Arial" w:cs="Arial"/>
          <w:u w:val="single"/>
          <w:lang w:val="en-US"/>
        </w:rPr>
        <w:t>Authors and affiliation</w:t>
      </w:r>
    </w:p>
    <w:p w14:paraId="51EA90F9" w14:textId="153A7F36" w:rsidR="00567217" w:rsidRPr="00567217" w:rsidRDefault="00567217" w:rsidP="00523C54">
      <w:pPr>
        <w:jc w:val="both"/>
        <w:rPr>
          <w:rFonts w:ascii="Arial" w:hAnsi="Arial" w:cs="Arial"/>
          <w:lang w:val="de-DE"/>
        </w:rPr>
      </w:pPr>
      <w:r w:rsidRPr="00567217">
        <w:rPr>
          <w:rFonts w:ascii="Arial" w:hAnsi="Arial" w:cs="Arial"/>
          <w:lang w:val="de-DE"/>
        </w:rPr>
        <w:t>Stephan Weber, Technische Universität Braunschweig, s.weber@tu-braunschweig.de</w:t>
      </w:r>
    </w:p>
    <w:p w14:paraId="2747F42A" w14:textId="77777777" w:rsidR="00567217" w:rsidRPr="00A74317" w:rsidRDefault="00567217" w:rsidP="00523C54">
      <w:pPr>
        <w:jc w:val="both"/>
        <w:rPr>
          <w:rFonts w:ascii="Arial" w:hAnsi="Arial" w:cs="Arial"/>
          <w:u w:val="single"/>
          <w:lang w:val="de-DE"/>
        </w:rPr>
      </w:pPr>
    </w:p>
    <w:p w14:paraId="74E27C92" w14:textId="002F07B9" w:rsidR="00F62CEE" w:rsidRPr="00A76B30" w:rsidRDefault="000E2C4A" w:rsidP="00523C54">
      <w:pPr>
        <w:jc w:val="both"/>
        <w:rPr>
          <w:rFonts w:ascii="Arial" w:hAnsi="Arial" w:cs="Arial"/>
          <w:u w:val="single"/>
          <w:lang w:val="en-US"/>
        </w:rPr>
      </w:pPr>
      <w:r w:rsidRPr="00A76B30">
        <w:rPr>
          <w:rFonts w:ascii="Arial" w:hAnsi="Arial" w:cs="Arial"/>
          <w:u w:val="single"/>
          <w:lang w:val="en-US"/>
        </w:rPr>
        <w:t>Text (max 250 words)</w:t>
      </w:r>
    </w:p>
    <w:p w14:paraId="2FD1E7A0" w14:textId="33A8FE83" w:rsidR="00F62CEE" w:rsidRPr="00567217" w:rsidRDefault="00F62CEE" w:rsidP="00523C54">
      <w:pPr>
        <w:jc w:val="both"/>
        <w:rPr>
          <w:rFonts w:ascii="Arial" w:hAnsi="Arial" w:cs="Arial"/>
          <w:lang w:val="en-US"/>
        </w:rPr>
      </w:pPr>
      <w:r w:rsidRPr="00567217">
        <w:rPr>
          <w:rFonts w:ascii="Arial" w:hAnsi="Arial" w:cs="Arial"/>
          <w:lang w:val="en-US"/>
        </w:rPr>
        <w:t>The conference will focus on ecosystem processes and ecosystem services provided by green building envelopes, i.e. roofs and walls. We invite results from both observational and modelling studies.</w:t>
      </w:r>
      <w:r w:rsidR="00A76B30" w:rsidRPr="00567217">
        <w:rPr>
          <w:rFonts w:ascii="Arial" w:hAnsi="Arial" w:cs="Arial"/>
          <w:lang w:val="en-US"/>
        </w:rPr>
        <w:t xml:space="preserve"> The conference will focus on ecosystem processes and ecosystem services provided by green building envelopes, i.e. roofs and walls. We invite results from both observational and modelling studies. The conference will focus on ecosystem processes and ecosystem services provided by green building envelopes, i.e. roofs and walls. We invite results from both observational and modelling studies. The conference will focus on ecosystem processes and ecosystem services provided by green building envelopes, i.e. roofs and walls. We invite results from both observational and modelling studies. The conference will focus on ecosystem processes and ecosystem services provided by green building envelopes, i.e. roofs and walls. We invite results from both observational and modelling studies.</w:t>
      </w:r>
    </w:p>
    <w:p w14:paraId="1056DB4A" w14:textId="77777777" w:rsidR="00A76B30" w:rsidRPr="00A76B30" w:rsidRDefault="00A76B30" w:rsidP="00523C54">
      <w:pPr>
        <w:jc w:val="both"/>
        <w:rPr>
          <w:rFonts w:ascii="Arial" w:hAnsi="Arial" w:cs="Arial"/>
          <w:i/>
          <w:iCs/>
        </w:rPr>
      </w:pPr>
    </w:p>
    <w:p w14:paraId="01BBD3FB" w14:textId="0E6EAC54" w:rsidR="002D3F63" w:rsidRDefault="00A76B30" w:rsidP="00523C54">
      <w:pPr>
        <w:jc w:val="both"/>
        <w:rPr>
          <w:rFonts w:ascii="Arial" w:hAnsi="Arial" w:cs="Arial"/>
          <w:u w:val="single"/>
          <w:lang w:val="en-US"/>
        </w:rPr>
      </w:pPr>
      <w:r w:rsidRPr="00A76B30">
        <w:rPr>
          <w:rFonts w:ascii="Arial" w:hAnsi="Arial" w:cs="Arial"/>
          <w:u w:val="single"/>
          <w:lang w:val="en-US"/>
        </w:rPr>
        <w:t>Refer</w:t>
      </w:r>
      <w:r>
        <w:rPr>
          <w:rFonts w:ascii="Arial" w:hAnsi="Arial" w:cs="Arial"/>
          <w:u w:val="single"/>
          <w:lang w:val="en-US"/>
        </w:rPr>
        <w:t>e</w:t>
      </w:r>
      <w:r w:rsidRPr="00A76B30">
        <w:rPr>
          <w:rFonts w:ascii="Arial" w:hAnsi="Arial" w:cs="Arial"/>
          <w:u w:val="single"/>
          <w:lang w:val="en-US"/>
        </w:rPr>
        <w:t>nces (if needed)</w:t>
      </w:r>
    </w:p>
    <w:p w14:paraId="46D5D5CD" w14:textId="4C04CDD5" w:rsidR="00567217" w:rsidRPr="00567217" w:rsidRDefault="00567217" w:rsidP="00523C54">
      <w:pPr>
        <w:jc w:val="both"/>
        <w:rPr>
          <w:rFonts w:ascii="Arial" w:hAnsi="Arial" w:cs="Arial"/>
          <w:lang w:val="en-US"/>
        </w:rPr>
      </w:pPr>
      <w:r w:rsidRPr="00567217">
        <w:rPr>
          <w:rFonts w:ascii="Arial" w:hAnsi="Arial" w:cs="Arial"/>
          <w:lang w:val="de-DE"/>
        </w:rPr>
        <w:t xml:space="preserve">Konopka, J., Heusinger, J., Weber, S., 2021. </w:t>
      </w:r>
      <w:r w:rsidRPr="00567217">
        <w:rPr>
          <w:rFonts w:ascii="Arial" w:hAnsi="Arial" w:cs="Arial"/>
          <w:lang w:val="en-US"/>
        </w:rPr>
        <w:t xml:space="preserve">Extensive Urban Green Roof Shows Consistent Annual Net Uptake of Carbon as Documented by 5 Years of Eddy-Covariance Flux Measurements. Journal of Geophysical Research: </w:t>
      </w:r>
      <w:proofErr w:type="spellStart"/>
      <w:r w:rsidRPr="00567217">
        <w:rPr>
          <w:rFonts w:ascii="Arial" w:hAnsi="Arial" w:cs="Arial"/>
          <w:lang w:val="en-US"/>
        </w:rPr>
        <w:t>Biogeosciences</w:t>
      </w:r>
      <w:proofErr w:type="spellEnd"/>
      <w:r w:rsidRPr="00567217">
        <w:rPr>
          <w:rFonts w:ascii="Arial" w:hAnsi="Arial" w:cs="Arial"/>
          <w:lang w:val="en-US"/>
        </w:rPr>
        <w:t xml:space="preserve"> 126, e2020JG005879. https://doi.org/10.1029/2020JG005879</w:t>
      </w:r>
    </w:p>
    <w:sectPr w:rsidR="00567217" w:rsidRPr="00567217">
      <w:pgSz w:w="11906" w:h="16838"/>
      <w:pgMar w:top="1417" w:right="1417" w:bottom="1134"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7035A78"/>
    <w:multiLevelType w:val="hybridMultilevel"/>
    <w:tmpl w:val="0F4E69A0"/>
    <w:lvl w:ilvl="0" w:tplc="8A7A159E">
      <w:start w:val="1"/>
      <w:numFmt w:val="bullet"/>
      <w:lvlText w:val=""/>
      <w:lvlJc w:val="left"/>
      <w:pPr>
        <w:tabs>
          <w:tab w:val="num" w:pos="720"/>
        </w:tabs>
        <w:ind w:left="720" w:hanging="360"/>
      </w:pPr>
      <w:rPr>
        <w:rFonts w:ascii="Symbol" w:hAnsi="Symbol" w:hint="default"/>
      </w:rPr>
    </w:lvl>
    <w:lvl w:ilvl="1" w:tplc="8B967660" w:tentative="1">
      <w:start w:val="1"/>
      <w:numFmt w:val="bullet"/>
      <w:lvlText w:val=""/>
      <w:lvlJc w:val="left"/>
      <w:pPr>
        <w:tabs>
          <w:tab w:val="num" w:pos="1440"/>
        </w:tabs>
        <w:ind w:left="1440" w:hanging="360"/>
      </w:pPr>
      <w:rPr>
        <w:rFonts w:ascii="Symbol" w:hAnsi="Symbol" w:hint="default"/>
      </w:rPr>
    </w:lvl>
    <w:lvl w:ilvl="2" w:tplc="B3CAFD64" w:tentative="1">
      <w:start w:val="1"/>
      <w:numFmt w:val="bullet"/>
      <w:lvlText w:val=""/>
      <w:lvlJc w:val="left"/>
      <w:pPr>
        <w:tabs>
          <w:tab w:val="num" w:pos="2160"/>
        </w:tabs>
        <w:ind w:left="2160" w:hanging="360"/>
      </w:pPr>
      <w:rPr>
        <w:rFonts w:ascii="Symbol" w:hAnsi="Symbol" w:hint="default"/>
      </w:rPr>
    </w:lvl>
    <w:lvl w:ilvl="3" w:tplc="9DE018FA" w:tentative="1">
      <w:start w:val="1"/>
      <w:numFmt w:val="bullet"/>
      <w:lvlText w:val=""/>
      <w:lvlJc w:val="left"/>
      <w:pPr>
        <w:tabs>
          <w:tab w:val="num" w:pos="2880"/>
        </w:tabs>
        <w:ind w:left="2880" w:hanging="360"/>
      </w:pPr>
      <w:rPr>
        <w:rFonts w:ascii="Symbol" w:hAnsi="Symbol" w:hint="default"/>
      </w:rPr>
    </w:lvl>
    <w:lvl w:ilvl="4" w:tplc="A1665D44" w:tentative="1">
      <w:start w:val="1"/>
      <w:numFmt w:val="bullet"/>
      <w:lvlText w:val=""/>
      <w:lvlJc w:val="left"/>
      <w:pPr>
        <w:tabs>
          <w:tab w:val="num" w:pos="3600"/>
        </w:tabs>
        <w:ind w:left="3600" w:hanging="360"/>
      </w:pPr>
      <w:rPr>
        <w:rFonts w:ascii="Symbol" w:hAnsi="Symbol" w:hint="default"/>
      </w:rPr>
    </w:lvl>
    <w:lvl w:ilvl="5" w:tplc="4C76C1E6" w:tentative="1">
      <w:start w:val="1"/>
      <w:numFmt w:val="bullet"/>
      <w:lvlText w:val=""/>
      <w:lvlJc w:val="left"/>
      <w:pPr>
        <w:tabs>
          <w:tab w:val="num" w:pos="4320"/>
        </w:tabs>
        <w:ind w:left="4320" w:hanging="360"/>
      </w:pPr>
      <w:rPr>
        <w:rFonts w:ascii="Symbol" w:hAnsi="Symbol" w:hint="default"/>
      </w:rPr>
    </w:lvl>
    <w:lvl w:ilvl="6" w:tplc="0A0EFFBA" w:tentative="1">
      <w:start w:val="1"/>
      <w:numFmt w:val="bullet"/>
      <w:lvlText w:val=""/>
      <w:lvlJc w:val="left"/>
      <w:pPr>
        <w:tabs>
          <w:tab w:val="num" w:pos="5040"/>
        </w:tabs>
        <w:ind w:left="5040" w:hanging="360"/>
      </w:pPr>
      <w:rPr>
        <w:rFonts w:ascii="Symbol" w:hAnsi="Symbol" w:hint="default"/>
      </w:rPr>
    </w:lvl>
    <w:lvl w:ilvl="7" w:tplc="15666900" w:tentative="1">
      <w:start w:val="1"/>
      <w:numFmt w:val="bullet"/>
      <w:lvlText w:val=""/>
      <w:lvlJc w:val="left"/>
      <w:pPr>
        <w:tabs>
          <w:tab w:val="num" w:pos="5760"/>
        </w:tabs>
        <w:ind w:left="5760" w:hanging="360"/>
      </w:pPr>
      <w:rPr>
        <w:rFonts w:ascii="Symbol" w:hAnsi="Symbol" w:hint="default"/>
      </w:rPr>
    </w:lvl>
    <w:lvl w:ilvl="8" w:tplc="BBDC7D5E" w:tentative="1">
      <w:start w:val="1"/>
      <w:numFmt w:val="bullet"/>
      <w:lvlText w:val=""/>
      <w:lvlJc w:val="left"/>
      <w:pPr>
        <w:tabs>
          <w:tab w:val="num" w:pos="6480"/>
        </w:tabs>
        <w:ind w:left="6480" w:hanging="360"/>
      </w:pPr>
      <w:rPr>
        <w:rFonts w:ascii="Symbol" w:hAnsi="Symbol" w:hint="default"/>
      </w:rPr>
    </w:lvl>
  </w:abstractNum>
  <w:abstractNum w:abstractNumId="1" w15:restartNumberingAfterBreak="0">
    <w:nsid w:val="3D620B39"/>
    <w:multiLevelType w:val="hybridMultilevel"/>
    <w:tmpl w:val="DF6CEE34"/>
    <w:lvl w:ilvl="0" w:tplc="714267BA">
      <w:start w:val="25"/>
      <w:numFmt w:val="bullet"/>
      <w:lvlText w:val="-"/>
      <w:lvlJc w:val="left"/>
      <w:pPr>
        <w:ind w:left="420" w:hanging="360"/>
      </w:pPr>
      <w:rPr>
        <w:rFonts w:ascii="Arial" w:eastAsiaTheme="minorHAnsi" w:hAnsi="Arial" w:cs="Arial" w:hint="default"/>
      </w:rPr>
    </w:lvl>
    <w:lvl w:ilvl="1" w:tplc="04070003" w:tentative="1">
      <w:start w:val="1"/>
      <w:numFmt w:val="bullet"/>
      <w:lvlText w:val="o"/>
      <w:lvlJc w:val="left"/>
      <w:pPr>
        <w:ind w:left="1140" w:hanging="360"/>
      </w:pPr>
      <w:rPr>
        <w:rFonts w:ascii="Courier New" w:hAnsi="Courier New" w:cs="Courier New" w:hint="default"/>
      </w:rPr>
    </w:lvl>
    <w:lvl w:ilvl="2" w:tplc="04070005" w:tentative="1">
      <w:start w:val="1"/>
      <w:numFmt w:val="bullet"/>
      <w:lvlText w:val=""/>
      <w:lvlJc w:val="left"/>
      <w:pPr>
        <w:ind w:left="1860" w:hanging="360"/>
      </w:pPr>
      <w:rPr>
        <w:rFonts w:ascii="Wingdings" w:hAnsi="Wingdings" w:hint="default"/>
      </w:rPr>
    </w:lvl>
    <w:lvl w:ilvl="3" w:tplc="04070001" w:tentative="1">
      <w:start w:val="1"/>
      <w:numFmt w:val="bullet"/>
      <w:lvlText w:val=""/>
      <w:lvlJc w:val="left"/>
      <w:pPr>
        <w:ind w:left="2580" w:hanging="360"/>
      </w:pPr>
      <w:rPr>
        <w:rFonts w:ascii="Symbol" w:hAnsi="Symbol" w:hint="default"/>
      </w:rPr>
    </w:lvl>
    <w:lvl w:ilvl="4" w:tplc="04070003" w:tentative="1">
      <w:start w:val="1"/>
      <w:numFmt w:val="bullet"/>
      <w:lvlText w:val="o"/>
      <w:lvlJc w:val="left"/>
      <w:pPr>
        <w:ind w:left="3300" w:hanging="360"/>
      </w:pPr>
      <w:rPr>
        <w:rFonts w:ascii="Courier New" w:hAnsi="Courier New" w:cs="Courier New" w:hint="default"/>
      </w:rPr>
    </w:lvl>
    <w:lvl w:ilvl="5" w:tplc="04070005" w:tentative="1">
      <w:start w:val="1"/>
      <w:numFmt w:val="bullet"/>
      <w:lvlText w:val=""/>
      <w:lvlJc w:val="left"/>
      <w:pPr>
        <w:ind w:left="4020" w:hanging="360"/>
      </w:pPr>
      <w:rPr>
        <w:rFonts w:ascii="Wingdings" w:hAnsi="Wingdings" w:hint="default"/>
      </w:rPr>
    </w:lvl>
    <w:lvl w:ilvl="6" w:tplc="04070001" w:tentative="1">
      <w:start w:val="1"/>
      <w:numFmt w:val="bullet"/>
      <w:lvlText w:val=""/>
      <w:lvlJc w:val="left"/>
      <w:pPr>
        <w:ind w:left="4740" w:hanging="360"/>
      </w:pPr>
      <w:rPr>
        <w:rFonts w:ascii="Symbol" w:hAnsi="Symbol" w:hint="default"/>
      </w:rPr>
    </w:lvl>
    <w:lvl w:ilvl="7" w:tplc="04070003" w:tentative="1">
      <w:start w:val="1"/>
      <w:numFmt w:val="bullet"/>
      <w:lvlText w:val="o"/>
      <w:lvlJc w:val="left"/>
      <w:pPr>
        <w:ind w:left="5460" w:hanging="360"/>
      </w:pPr>
      <w:rPr>
        <w:rFonts w:ascii="Courier New" w:hAnsi="Courier New" w:cs="Courier New" w:hint="default"/>
      </w:rPr>
    </w:lvl>
    <w:lvl w:ilvl="8" w:tplc="04070005" w:tentative="1">
      <w:start w:val="1"/>
      <w:numFmt w:val="bullet"/>
      <w:lvlText w:val=""/>
      <w:lvlJc w:val="left"/>
      <w:pPr>
        <w:ind w:left="6180" w:hanging="360"/>
      </w:pPr>
      <w:rPr>
        <w:rFonts w:ascii="Wingdings" w:hAnsi="Wingdings" w:hint="default"/>
      </w:rPr>
    </w:lvl>
  </w:abstractNum>
  <w:abstractNum w:abstractNumId="2" w15:restartNumberingAfterBreak="0">
    <w:nsid w:val="663D0BD5"/>
    <w:multiLevelType w:val="hybridMultilevel"/>
    <w:tmpl w:val="1720A23A"/>
    <w:lvl w:ilvl="0" w:tplc="04070001">
      <w:start w:val="1"/>
      <w:numFmt w:val="bullet"/>
      <w:lvlText w:val=""/>
      <w:lvlJc w:val="left"/>
      <w:pPr>
        <w:ind w:left="360" w:hanging="360"/>
      </w:pPr>
      <w:rPr>
        <w:rFonts w:ascii="Symbol" w:hAnsi="Symbol"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num w:numId="1" w16cid:durableId="1543711836">
    <w:abstractNumId w:val="0"/>
  </w:num>
  <w:num w:numId="2" w16cid:durableId="1439834316">
    <w:abstractNumId w:val="2"/>
  </w:num>
  <w:num w:numId="3" w16cid:durableId="155978259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62CEE"/>
    <w:rsid w:val="00070C21"/>
    <w:rsid w:val="000B715A"/>
    <w:rsid w:val="000E2C4A"/>
    <w:rsid w:val="00135B68"/>
    <w:rsid w:val="00155C4B"/>
    <w:rsid w:val="001979A8"/>
    <w:rsid w:val="002149DF"/>
    <w:rsid w:val="002D3F63"/>
    <w:rsid w:val="00414527"/>
    <w:rsid w:val="004C4FCC"/>
    <w:rsid w:val="004E1F66"/>
    <w:rsid w:val="00523C54"/>
    <w:rsid w:val="005604D0"/>
    <w:rsid w:val="00564E9A"/>
    <w:rsid w:val="00567217"/>
    <w:rsid w:val="005C33AD"/>
    <w:rsid w:val="005D3D1F"/>
    <w:rsid w:val="00656ECA"/>
    <w:rsid w:val="006D1B69"/>
    <w:rsid w:val="00704AFF"/>
    <w:rsid w:val="008A0F4A"/>
    <w:rsid w:val="008F76A4"/>
    <w:rsid w:val="00962EB7"/>
    <w:rsid w:val="00A74317"/>
    <w:rsid w:val="00A76B30"/>
    <w:rsid w:val="00BE7FAE"/>
    <w:rsid w:val="00D46B9E"/>
    <w:rsid w:val="00D539A7"/>
    <w:rsid w:val="00E61130"/>
    <w:rsid w:val="00EF0B12"/>
    <w:rsid w:val="00F62CEE"/>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C8CEAC6"/>
  <w15:chartTrackingRefBased/>
  <w15:docId w15:val="{3D6B9B38-1481-4A24-A091-F8113E39AA8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de-D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Pr>
      <w:lang w:val="en-GB"/>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styleId="Hyperlink">
    <w:name w:val="Hyperlink"/>
    <w:basedOn w:val="Absatz-Standardschriftart"/>
    <w:uiPriority w:val="99"/>
    <w:unhideWhenUsed/>
    <w:rsid w:val="002D3F63"/>
    <w:rPr>
      <w:color w:val="0563C1" w:themeColor="hyperlink"/>
      <w:u w:val="single"/>
    </w:rPr>
  </w:style>
  <w:style w:type="character" w:styleId="NichtaufgelsteErwhnung">
    <w:name w:val="Unresolved Mention"/>
    <w:basedOn w:val="Absatz-Standardschriftart"/>
    <w:uiPriority w:val="99"/>
    <w:semiHidden/>
    <w:unhideWhenUsed/>
    <w:rsid w:val="002D3F63"/>
    <w:rPr>
      <w:color w:val="605E5C"/>
      <w:shd w:val="clear" w:color="auto" w:fill="E1DFDD"/>
    </w:rPr>
  </w:style>
  <w:style w:type="paragraph" w:styleId="Listenabsatz">
    <w:name w:val="List Paragraph"/>
    <w:basedOn w:val="Standard"/>
    <w:uiPriority w:val="34"/>
    <w:qFormat/>
    <w:rsid w:val="002149DF"/>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768115564">
      <w:bodyDiv w:val="1"/>
      <w:marLeft w:val="0"/>
      <w:marRight w:val="0"/>
      <w:marTop w:val="0"/>
      <w:marBottom w:val="0"/>
      <w:divBdr>
        <w:top w:val="none" w:sz="0" w:space="0" w:color="auto"/>
        <w:left w:val="none" w:sz="0" w:space="0" w:color="auto"/>
        <w:bottom w:val="none" w:sz="0" w:space="0" w:color="auto"/>
        <w:right w:val="none" w:sz="0" w:space="0" w:color="auto"/>
      </w:divBdr>
      <w:divsChild>
        <w:div w:id="2116705440">
          <w:marLeft w:val="446"/>
          <w:marRight w:val="0"/>
          <w:marTop w:val="0"/>
          <w:marBottom w:val="0"/>
          <w:divBdr>
            <w:top w:val="none" w:sz="0" w:space="0" w:color="auto"/>
            <w:left w:val="none" w:sz="0" w:space="0" w:color="auto"/>
            <w:bottom w:val="none" w:sz="0" w:space="0" w:color="auto"/>
            <w:right w:val="none" w:sz="0" w:space="0" w:color="auto"/>
          </w:divBdr>
        </w:div>
        <w:div w:id="2118284933">
          <w:marLeft w:val="446"/>
          <w:marRight w:val="0"/>
          <w:marTop w:val="0"/>
          <w:marBottom w:val="0"/>
          <w:divBdr>
            <w:top w:val="none" w:sz="0" w:space="0" w:color="auto"/>
            <w:left w:val="none" w:sz="0" w:space="0" w:color="auto"/>
            <w:bottom w:val="none" w:sz="0" w:space="0" w:color="auto"/>
            <w:right w:val="none" w:sz="0" w:space="0" w:color="auto"/>
          </w:divBdr>
        </w:div>
        <w:div w:id="1325939388">
          <w:marLeft w:val="446"/>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3.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png"/><Relationship Id="rId5" Type="http://schemas.openxmlformats.org/officeDocument/2006/relationships/image" Target="media/image1.png"/><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Larissa">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219</Words>
  <Characters>1385</Characters>
  <Application>Microsoft Office Word</Application>
  <DocSecurity>4</DocSecurity>
  <Lines>11</Lines>
  <Paragraphs>3</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1601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Stephan Weber</dc:creator>
  <cp:keywords/>
  <dc:description/>
  <cp:lastModifiedBy>Britta Ashi</cp:lastModifiedBy>
  <cp:revision>2</cp:revision>
  <cp:lastPrinted>2025-03-11T15:12:00Z</cp:lastPrinted>
  <dcterms:created xsi:type="dcterms:W3CDTF">2026-06-19T09:43:00Z</dcterms:created>
  <dcterms:modified xsi:type="dcterms:W3CDTF">2026-06-19T09:43:00Z</dcterms:modified>
</cp:coreProperties>
</file>